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037BEDC7"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70412E" w:rsidRPr="0070412E">
        <w:rPr>
          <w:rFonts w:ascii="Garamond" w:eastAsia="Times New Roman" w:hAnsi="Garamond" w:cs="Arial"/>
          <w:color w:val="000000" w:themeColor="text1"/>
          <w:kern w:val="36"/>
          <w:sz w:val="48"/>
          <w:szCs w:val="48"/>
          <w:lang w:eastAsia="hu-HU"/>
        </w:rPr>
        <w:t xml:space="preserve">Motorola </w:t>
      </w:r>
      <w:proofErr w:type="spellStart"/>
      <w:r w:rsidR="0070412E" w:rsidRPr="0070412E">
        <w:rPr>
          <w:rFonts w:ascii="Garamond" w:eastAsia="Times New Roman" w:hAnsi="Garamond" w:cs="Arial"/>
          <w:color w:val="000000" w:themeColor="text1"/>
          <w:kern w:val="36"/>
          <w:sz w:val="48"/>
          <w:szCs w:val="48"/>
          <w:lang w:eastAsia="hu-HU"/>
        </w:rPr>
        <w:t>Razr</w:t>
      </w:r>
      <w:proofErr w:type="spellEnd"/>
      <w:r w:rsidR="0070412E" w:rsidRPr="0070412E">
        <w:rPr>
          <w:rFonts w:ascii="Garamond" w:eastAsia="Times New Roman" w:hAnsi="Garamond" w:cs="Arial"/>
          <w:color w:val="000000" w:themeColor="text1"/>
          <w:kern w:val="36"/>
          <w:sz w:val="48"/>
          <w:szCs w:val="48"/>
          <w:lang w:eastAsia="hu-HU"/>
        </w:rPr>
        <w:t xml:space="preserve"> 50 ráadás Lenovo TAB M9 tablettel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000000"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4729C073"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222554">
        <w:rPr>
          <w:rFonts w:ascii="Garamond" w:eastAsia="Times New Roman" w:hAnsi="Garamond" w:cs="Arial"/>
          <w:color w:val="000000" w:themeColor="text1"/>
          <w:sz w:val="24"/>
          <w:szCs w:val="24"/>
          <w:lang w:eastAsia="hu-HU"/>
        </w:rPr>
        <w:t>szeptember</w:t>
      </w:r>
      <w:r w:rsidR="008F2129" w:rsidRPr="007B1326">
        <w:rPr>
          <w:rFonts w:ascii="Garamond" w:eastAsia="Times New Roman" w:hAnsi="Garamond" w:cs="Arial"/>
          <w:color w:val="000000" w:themeColor="text1"/>
          <w:sz w:val="24"/>
          <w:szCs w:val="24"/>
          <w:lang w:eastAsia="hu-HU"/>
        </w:rPr>
        <w:t xml:space="preserve"> </w:t>
      </w:r>
      <w:r w:rsidR="00222554">
        <w:rPr>
          <w:rFonts w:ascii="Garamond" w:eastAsia="Times New Roman" w:hAnsi="Garamond" w:cs="Arial"/>
          <w:color w:val="000000" w:themeColor="text1"/>
          <w:sz w:val="24"/>
          <w:szCs w:val="24"/>
          <w:lang w:eastAsia="hu-HU"/>
        </w:rPr>
        <w:t>18</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hazai jogszabályokra, így többek között az információs önrendelkezési jogról és az információszabadságról szóló 2011. évi CXII. törvény (továbbiakban: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3" w:name="_Hlk140165778"/>
      <w:r w:rsidR="000363B7">
        <w:rPr>
          <w:rFonts w:ascii="Garamond" w:eastAsia="Times New Roman" w:hAnsi="Garamond" w:cs="Arial"/>
          <w:color w:val="000000" w:themeColor="text1"/>
          <w:sz w:val="24"/>
          <w:szCs w:val="24"/>
          <w:lang w:eastAsia="hu-HU"/>
        </w:rPr>
        <w:t xml:space="preserve">adatfeldolgozás indoka: </w:t>
      </w:r>
      <w:bookmarkEnd w:id="3"/>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4"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4"/>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5"/>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személyes adatok tárolásának olyan formában kell történnie, amely az érintettek azonosítását csak a személyes adatok kezelése céljainak eléréséhez szükséges ideig teszi lehetővé; a személyes </w:t>
      </w:r>
      <w:r w:rsidRPr="008762BB">
        <w:rPr>
          <w:rFonts w:ascii="Garamond" w:eastAsia="Times New Roman" w:hAnsi="Garamond" w:cs="Arial"/>
          <w:color w:val="000000" w:themeColor="text1"/>
          <w:sz w:val="24"/>
          <w:szCs w:val="24"/>
          <w:lang w:eastAsia="hu-HU"/>
        </w:rPr>
        <w:lastRenderedPageBreak/>
        <w:t>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42CA7525"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70412E" w:rsidRPr="0070412E">
        <w:rPr>
          <w:rFonts w:ascii="Garamond" w:eastAsia="Times New Roman" w:hAnsi="Garamond" w:cs="Arial"/>
          <w:i/>
          <w:iCs/>
          <w:color w:val="000000" w:themeColor="text1"/>
          <w:sz w:val="24"/>
          <w:szCs w:val="24"/>
          <w:lang w:eastAsia="hu-HU"/>
        </w:rPr>
        <w:t xml:space="preserve">Motorola </w:t>
      </w:r>
      <w:proofErr w:type="spellStart"/>
      <w:r w:rsidR="0070412E" w:rsidRPr="0070412E">
        <w:rPr>
          <w:rFonts w:ascii="Garamond" w:eastAsia="Times New Roman" w:hAnsi="Garamond" w:cs="Arial"/>
          <w:i/>
          <w:iCs/>
          <w:color w:val="000000" w:themeColor="text1"/>
          <w:sz w:val="24"/>
          <w:szCs w:val="24"/>
          <w:lang w:eastAsia="hu-HU"/>
        </w:rPr>
        <w:t>Razr</w:t>
      </w:r>
      <w:proofErr w:type="spellEnd"/>
      <w:r w:rsidR="0070412E" w:rsidRPr="0070412E">
        <w:rPr>
          <w:rFonts w:ascii="Garamond" w:eastAsia="Times New Roman" w:hAnsi="Garamond" w:cs="Arial"/>
          <w:i/>
          <w:iCs/>
          <w:color w:val="000000" w:themeColor="text1"/>
          <w:sz w:val="24"/>
          <w:szCs w:val="24"/>
          <w:lang w:eastAsia="hu-HU"/>
        </w:rPr>
        <w:t xml:space="preserve"> 50 ráadás Lenovo TAB M9 tablettel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518F4829"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70412E" w:rsidRPr="0070412E">
        <w:rPr>
          <w:rFonts w:ascii="Garamond" w:eastAsia="Times New Roman" w:hAnsi="Garamond" w:cs="Arial"/>
          <w:color w:val="000000" w:themeColor="text1"/>
          <w:sz w:val="24"/>
          <w:szCs w:val="24"/>
          <w:lang w:eastAsia="hu-HU"/>
        </w:rPr>
        <w:t xml:space="preserve">Motorola </w:t>
      </w:r>
      <w:proofErr w:type="spellStart"/>
      <w:r w:rsidR="0070412E" w:rsidRPr="0070412E">
        <w:rPr>
          <w:rFonts w:ascii="Garamond" w:eastAsia="Times New Roman" w:hAnsi="Garamond" w:cs="Arial"/>
          <w:color w:val="000000" w:themeColor="text1"/>
          <w:sz w:val="24"/>
          <w:szCs w:val="24"/>
          <w:lang w:eastAsia="hu-HU"/>
        </w:rPr>
        <w:t>Razr</w:t>
      </w:r>
      <w:proofErr w:type="spellEnd"/>
      <w:r w:rsidR="0070412E" w:rsidRPr="0070412E">
        <w:rPr>
          <w:rFonts w:ascii="Garamond" w:eastAsia="Times New Roman" w:hAnsi="Garamond" w:cs="Arial"/>
          <w:color w:val="000000" w:themeColor="text1"/>
          <w:sz w:val="24"/>
          <w:szCs w:val="24"/>
          <w:lang w:eastAsia="hu-HU"/>
        </w:rPr>
        <w:t xml:space="preserve"> 50 ráadás Lenovo TAB M9 tablettel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w:t>
      </w:r>
      <w:r w:rsidRPr="008762BB">
        <w:rPr>
          <w:rFonts w:ascii="Garamond" w:eastAsia="Times New Roman" w:hAnsi="Garamond" w:cs="Arial"/>
          <w:color w:val="000000" w:themeColor="text1"/>
          <w:sz w:val="24"/>
          <w:szCs w:val="24"/>
          <w:lang w:eastAsia="hu-HU"/>
        </w:rPr>
        <w:lastRenderedPageBreak/>
        <w:t xml:space="preserve">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érintett az adatkezeléshez adott hozzájárulását visszavonja vagy személyes adatainak törlését kérelmezi, kivéve, ha az adatok kezelése 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0A2A" w14:textId="77777777" w:rsidR="007D006E" w:rsidRDefault="007D006E" w:rsidP="005C5376">
      <w:pPr>
        <w:spacing w:after="0" w:line="240" w:lineRule="auto"/>
      </w:pPr>
      <w:r>
        <w:separator/>
      </w:r>
    </w:p>
  </w:endnote>
  <w:endnote w:type="continuationSeparator" w:id="0">
    <w:p w14:paraId="54419C96" w14:textId="77777777" w:rsidR="007D006E" w:rsidRDefault="007D006E"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694DE" w14:textId="77777777" w:rsidR="007D006E" w:rsidRDefault="007D006E" w:rsidP="005C5376">
      <w:pPr>
        <w:spacing w:after="0" w:line="240" w:lineRule="auto"/>
      </w:pPr>
      <w:r>
        <w:separator/>
      </w:r>
    </w:p>
  </w:footnote>
  <w:footnote w:type="continuationSeparator" w:id="0">
    <w:p w14:paraId="2563099B" w14:textId="77777777" w:rsidR="007D006E" w:rsidRDefault="007D006E"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B421B"/>
    <w:rsid w:val="000F16AD"/>
    <w:rsid w:val="00127093"/>
    <w:rsid w:val="001714A7"/>
    <w:rsid w:val="001A544D"/>
    <w:rsid w:val="001C0347"/>
    <w:rsid w:val="001E3C68"/>
    <w:rsid w:val="00205276"/>
    <w:rsid w:val="00221BD0"/>
    <w:rsid w:val="00222554"/>
    <w:rsid w:val="002A36B4"/>
    <w:rsid w:val="003341E5"/>
    <w:rsid w:val="0033551D"/>
    <w:rsid w:val="00386DBB"/>
    <w:rsid w:val="003A3EC7"/>
    <w:rsid w:val="003B52D8"/>
    <w:rsid w:val="003C1A08"/>
    <w:rsid w:val="003E6771"/>
    <w:rsid w:val="00433F49"/>
    <w:rsid w:val="00437E9A"/>
    <w:rsid w:val="00512222"/>
    <w:rsid w:val="00567F34"/>
    <w:rsid w:val="005C5376"/>
    <w:rsid w:val="005F7E58"/>
    <w:rsid w:val="006270A9"/>
    <w:rsid w:val="00656278"/>
    <w:rsid w:val="006758CA"/>
    <w:rsid w:val="0070412E"/>
    <w:rsid w:val="007708C0"/>
    <w:rsid w:val="007B1326"/>
    <w:rsid w:val="007D006E"/>
    <w:rsid w:val="007E1900"/>
    <w:rsid w:val="0081092C"/>
    <w:rsid w:val="008762BB"/>
    <w:rsid w:val="008964C9"/>
    <w:rsid w:val="008A7CA9"/>
    <w:rsid w:val="008D0FA4"/>
    <w:rsid w:val="008F2129"/>
    <w:rsid w:val="0092487D"/>
    <w:rsid w:val="009411A0"/>
    <w:rsid w:val="009618F5"/>
    <w:rsid w:val="00967EE3"/>
    <w:rsid w:val="009C6A43"/>
    <w:rsid w:val="00A62C97"/>
    <w:rsid w:val="00AA1BE5"/>
    <w:rsid w:val="00AB080C"/>
    <w:rsid w:val="00B8203F"/>
    <w:rsid w:val="00BB7873"/>
    <w:rsid w:val="00C11CA9"/>
    <w:rsid w:val="00C57431"/>
    <w:rsid w:val="00C62AEB"/>
    <w:rsid w:val="00CA77B6"/>
    <w:rsid w:val="00CC3A31"/>
    <w:rsid w:val="00CC62F3"/>
    <w:rsid w:val="00D76CF8"/>
    <w:rsid w:val="00DD48E1"/>
    <w:rsid w:val="00E13EF1"/>
    <w:rsid w:val="00E24782"/>
    <w:rsid w:val="00E47814"/>
    <w:rsid w:val="00E6781C"/>
    <w:rsid w:val="00F03A54"/>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2818</Words>
  <Characters>19449</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Bognár Zoltán</cp:lastModifiedBy>
  <cp:revision>2</cp:revision>
  <dcterms:created xsi:type="dcterms:W3CDTF">2024-09-18T08:50:00Z</dcterms:created>
  <dcterms:modified xsi:type="dcterms:W3CDTF">2024-09-18T08:50:00Z</dcterms:modified>
</cp:coreProperties>
</file>